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66E381">
      <w:pPr>
        <w:pStyle w:val="2"/>
        <w:spacing w:line="240" w:lineRule="auto"/>
        <w:jc w:val="center"/>
        <w:rPr>
          <w:rFonts w:hint="eastAsia" w:ascii="方正公文小标宋" w:hAnsi="方正公文小标宋" w:eastAsia="方正公文小标宋" w:cs="方正公文小标宋"/>
          <w:b/>
          <w:bCs/>
          <w:snapToGrid w:val="0"/>
          <w:color w:val="000000"/>
          <w:spacing w:val="-1"/>
          <w:kern w:val="0"/>
          <w:sz w:val="44"/>
          <w:szCs w:val="44"/>
          <w:lang w:val="en-US" w:eastAsia="en-US" w:bidi="ar-SA"/>
        </w:rPr>
      </w:pPr>
      <w:bookmarkStart w:id="0" w:name="_GoBack"/>
      <w:bookmarkEnd w:id="0"/>
      <w:r>
        <w:rPr>
          <w:rFonts w:hint="eastAsia" w:ascii="方正公文小标宋" w:hAnsi="方正公文小标宋" w:eastAsia="方正公文小标宋" w:cs="方正公文小标宋"/>
          <w:b/>
          <w:bCs/>
          <w:snapToGrid w:val="0"/>
          <w:color w:val="000000"/>
          <w:spacing w:val="-1"/>
          <w:kern w:val="0"/>
          <w:sz w:val="44"/>
          <w:szCs w:val="44"/>
          <w:lang w:val="en-US" w:eastAsia="en-US" w:bidi="ar-SA"/>
        </w:rPr>
        <w:t>知识产权学院本科生调整修读专业（类）管理实施细则</w:t>
      </w:r>
    </w:p>
    <w:p w14:paraId="36E293F2">
      <w:pPr>
        <w:pStyle w:val="20"/>
        <w:keepNext w:val="0"/>
        <w:keepLines w:val="0"/>
        <w:pageBreakBefore w:val="0"/>
        <w:widowControl/>
        <w:kinsoku/>
        <w:wordWrap/>
        <w:overflowPunct/>
        <w:topLinePunct w:val="0"/>
        <w:autoSpaceDE/>
        <w:autoSpaceDN/>
        <w:bidi w:val="0"/>
        <w:adjustRightInd/>
        <w:snapToGrid/>
        <w:spacing w:line="560" w:lineRule="exact"/>
        <w:ind w:firstLine="636" w:firstLineChars="200"/>
        <w:textAlignment w:val="auto"/>
        <w:rPr>
          <w:rFonts w:hint="eastAsia" w:ascii="方正仿宋_GB2312" w:hAnsi="方正仿宋_GB2312" w:eastAsia="方正仿宋_GB2312" w:cs="方正仿宋_GB2312"/>
          <w:b w:val="0"/>
          <w:bCs w:val="0"/>
          <w:snapToGrid w:val="0"/>
          <w:color w:val="000000"/>
          <w:spacing w:val="-1"/>
          <w:kern w:val="0"/>
          <w:sz w:val="32"/>
          <w:szCs w:val="32"/>
          <w:lang w:val="en-US" w:eastAsia="en-US" w:bidi="ar-SA"/>
        </w:rPr>
      </w:pPr>
      <w:r>
        <w:rPr>
          <w:rFonts w:hint="eastAsia" w:ascii="方正仿宋_GB2312" w:hAnsi="方正仿宋_GB2312" w:eastAsia="方正仿宋_GB2312" w:cs="方正仿宋_GB2312"/>
          <w:b w:val="0"/>
          <w:bCs w:val="0"/>
          <w:snapToGrid w:val="0"/>
          <w:color w:val="000000"/>
          <w:spacing w:val="-1"/>
          <w:kern w:val="0"/>
          <w:sz w:val="32"/>
          <w:szCs w:val="32"/>
          <w:lang w:val="en-US" w:eastAsia="en-US" w:bidi="ar-SA"/>
        </w:rPr>
        <w:t>为规范学院本科生调整修读专业（类）工作，落实《中南财经政法大学本科生调整修读专业（类）管理办法》要求，结合知识产权专业培养特色、教学资源配置及学科发展需要，</w:t>
      </w:r>
      <w:r>
        <w:rPr>
          <w:rFonts w:hint="eastAsia" w:ascii="方正仿宋_GB2312" w:hAnsi="方正仿宋_GB2312" w:eastAsia="方正仿宋_GB2312" w:cs="方正仿宋_GB2312"/>
          <w:b w:val="0"/>
          <w:bCs w:val="0"/>
          <w:snapToGrid w:val="0"/>
          <w:color w:val="000000"/>
          <w:spacing w:val="-1"/>
          <w:kern w:val="0"/>
          <w:sz w:val="32"/>
          <w:szCs w:val="32"/>
          <w:lang w:val="en-US" w:eastAsia="zh-CN" w:bidi="ar-SA"/>
        </w:rPr>
        <w:t>经本科教学指导委员会讨论研究，并经党政联席会审议，特</w:t>
      </w:r>
      <w:r>
        <w:rPr>
          <w:rFonts w:hint="eastAsia" w:ascii="方正仿宋_GB2312" w:hAnsi="方正仿宋_GB2312" w:eastAsia="方正仿宋_GB2312" w:cs="方正仿宋_GB2312"/>
          <w:b w:val="0"/>
          <w:bCs w:val="0"/>
          <w:snapToGrid w:val="0"/>
          <w:color w:val="000000"/>
          <w:spacing w:val="-1"/>
          <w:kern w:val="0"/>
          <w:sz w:val="32"/>
          <w:szCs w:val="32"/>
          <w:lang w:val="en-US" w:eastAsia="en-US" w:bidi="ar-SA"/>
        </w:rPr>
        <w:t>制定本细则。</w:t>
      </w:r>
    </w:p>
    <w:p w14:paraId="03B5CA30">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val="0"/>
          <w:color w:val="000000"/>
          <w:spacing w:val="-1"/>
          <w:kern w:val="0"/>
          <w:sz w:val="32"/>
          <w:szCs w:val="32"/>
          <w:lang w:val="en-US" w:eastAsia="zh-CN" w:bidi="ar-SA"/>
        </w:rPr>
      </w:pPr>
      <w:r>
        <w:rPr>
          <w:rFonts w:hint="eastAsia" w:ascii="黑体" w:hAnsi="黑体" w:eastAsia="黑体" w:cs="黑体"/>
          <w:snapToGrid w:val="0"/>
          <w:color w:val="000000"/>
          <w:spacing w:val="-1"/>
          <w:kern w:val="0"/>
          <w:sz w:val="32"/>
          <w:szCs w:val="32"/>
          <w:lang w:val="en-US" w:eastAsia="zh-CN" w:bidi="ar-SA"/>
        </w:rPr>
        <w:t>第一章 组织领导</w:t>
      </w:r>
    </w:p>
    <w:p w14:paraId="291419E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第一条</w:t>
      </w:r>
      <w:r>
        <w:rPr>
          <w:rFonts w:hint="eastAsia" w:ascii="方正仿宋_GB2312" w:hAnsi="方正仿宋_GB2312" w:eastAsia="方正仿宋_GB2312" w:cs="方正仿宋_GB2312"/>
          <w:color w:val="auto"/>
          <w:sz w:val="32"/>
          <w:szCs w:val="32"/>
          <w:lang w:val="en-US" w:eastAsia="zh-CN"/>
        </w:rPr>
        <w:t xml:space="preserve"> 学院成立本科生调整修读专业（类）工作小组，小组组长由院长、院党委书记担任，副组长由分管本科教学工作的副院长担任，成员由各教研室主任、教学秘书及辅导员组成。</w:t>
      </w:r>
    </w:p>
    <w:p w14:paraId="0CE4AB58">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第二条</w:t>
      </w:r>
      <w:r>
        <w:rPr>
          <w:rFonts w:hint="eastAsia" w:ascii="方正仿宋_GB2312" w:hAnsi="方正仿宋_GB2312" w:eastAsia="方正仿宋_GB2312" w:cs="方正仿宋_GB2312"/>
          <w:color w:val="auto"/>
          <w:sz w:val="32"/>
          <w:szCs w:val="32"/>
          <w:lang w:val="en-US" w:eastAsia="zh-CN"/>
        </w:rPr>
        <w:t xml:space="preserve"> 工作小组主要职责为统筹全院本科生调整修读专业（类）各项工作，审核调整修读专业（类）工作考核方案，审定拟转入、转出学生名单，以及受理、核查并处理调整修读专业（类）工作相关的异议事项。</w:t>
      </w:r>
    </w:p>
    <w:p w14:paraId="722070B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 xml:space="preserve">第三条 </w:t>
      </w:r>
      <w:r>
        <w:rPr>
          <w:rFonts w:hint="eastAsia" w:ascii="方正仿宋_GB2312" w:hAnsi="方正仿宋_GB2312" w:eastAsia="方正仿宋_GB2312" w:cs="方正仿宋_GB2312"/>
          <w:color w:val="auto"/>
          <w:sz w:val="32"/>
          <w:szCs w:val="32"/>
          <w:lang w:val="en-US" w:eastAsia="zh-CN"/>
        </w:rPr>
        <w:t>工作遵循“公平、公正、公开”原则，以学生为中心，兼顾个性化发展与学院人才培养质量。</w:t>
      </w:r>
    </w:p>
    <w:p w14:paraId="0A8931EE">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val="0"/>
          <w:color w:val="000000"/>
          <w:spacing w:val="-1"/>
          <w:kern w:val="0"/>
          <w:sz w:val="32"/>
          <w:szCs w:val="32"/>
          <w:lang w:val="en-US" w:eastAsia="zh-CN" w:bidi="ar-SA"/>
        </w:rPr>
      </w:pPr>
      <w:r>
        <w:rPr>
          <w:rFonts w:hint="eastAsia" w:ascii="黑体" w:hAnsi="黑体" w:eastAsia="黑体" w:cs="黑体"/>
          <w:snapToGrid w:val="0"/>
          <w:color w:val="000000"/>
          <w:spacing w:val="-1"/>
          <w:kern w:val="0"/>
          <w:sz w:val="32"/>
          <w:szCs w:val="32"/>
          <w:lang w:val="en-US" w:eastAsia="zh-CN" w:bidi="ar-SA"/>
        </w:rPr>
        <w:t>第二章 对象范围</w:t>
      </w:r>
    </w:p>
    <w:p w14:paraId="3E0D1BF9">
      <w:pPr>
        <w:pStyle w:val="20"/>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b/>
          <w:bCs/>
          <w:snapToGrid w:val="0"/>
          <w:color w:val="000000"/>
          <w:spacing w:val="-1"/>
          <w:kern w:val="0"/>
          <w:sz w:val="32"/>
          <w:szCs w:val="32"/>
          <w:lang w:val="en-US" w:eastAsia="zh-CN" w:bidi="ar-SA"/>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四</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b w:val="0"/>
          <w:bCs w:val="0"/>
          <w:sz w:val="32"/>
          <w:szCs w:val="32"/>
        </w:rPr>
        <w:t xml:space="preserve"> 本细则适用于</w:t>
      </w:r>
      <w:r>
        <w:rPr>
          <w:rFonts w:hint="eastAsia" w:ascii="方正仿宋_GB2312" w:hAnsi="方正仿宋_GB2312" w:eastAsia="方正仿宋_GB2312" w:cs="方正仿宋_GB2312"/>
          <w:b w:val="0"/>
          <w:bCs w:val="0"/>
          <w:sz w:val="32"/>
          <w:szCs w:val="32"/>
          <w:lang w:val="en-US" w:eastAsia="zh-CN"/>
        </w:rPr>
        <w:t>知识产权学院全体全日制本科生以及全校其他学院拟申请转入我院的</w:t>
      </w:r>
      <w:r>
        <w:rPr>
          <w:rFonts w:hint="eastAsia" w:ascii="方正仿宋_GB2312" w:hAnsi="方正仿宋_GB2312" w:eastAsia="方正仿宋_GB2312" w:cs="方正仿宋_GB2312"/>
          <w:b w:val="0"/>
          <w:bCs w:val="0"/>
          <w:sz w:val="32"/>
          <w:szCs w:val="32"/>
        </w:rPr>
        <w:t>全日制本科生</w:t>
      </w:r>
      <w:r>
        <w:rPr>
          <w:rFonts w:hint="eastAsia" w:ascii="方正仿宋_GB2312" w:hAnsi="方正仿宋_GB2312" w:eastAsia="方正仿宋_GB2312" w:cs="方正仿宋_GB2312"/>
          <w:b w:val="0"/>
          <w:bCs w:val="0"/>
          <w:sz w:val="32"/>
          <w:szCs w:val="32"/>
          <w:lang w:eastAsia="zh-CN"/>
        </w:rPr>
        <w:t>。</w:t>
      </w:r>
    </w:p>
    <w:p w14:paraId="72765471">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val="0"/>
          <w:color w:val="000000"/>
          <w:spacing w:val="-1"/>
          <w:kern w:val="0"/>
          <w:sz w:val="32"/>
          <w:szCs w:val="32"/>
          <w:lang w:val="en-US" w:eastAsia="zh-CN" w:bidi="ar-SA"/>
        </w:rPr>
      </w:pPr>
      <w:r>
        <w:rPr>
          <w:rFonts w:hint="eastAsia" w:ascii="黑体" w:hAnsi="黑体" w:eastAsia="黑体" w:cs="黑体"/>
          <w:snapToGrid w:val="0"/>
          <w:color w:val="000000"/>
          <w:spacing w:val="-1"/>
          <w:kern w:val="0"/>
          <w:sz w:val="32"/>
          <w:szCs w:val="32"/>
          <w:lang w:val="en-US" w:eastAsia="zh-CN" w:bidi="ar-SA"/>
        </w:rPr>
        <w:t>第三章 名额分配</w:t>
      </w:r>
    </w:p>
    <w:p w14:paraId="61D6F576">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sz w:val="32"/>
          <w:szCs w:val="32"/>
          <w:lang w:val="en-US" w:eastAsia="zh-CN"/>
        </w:rPr>
        <w:t>第五条</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color w:val="auto"/>
          <w:sz w:val="32"/>
          <w:szCs w:val="32"/>
          <w:lang w:val="en-US" w:eastAsia="zh-CN"/>
        </w:rPr>
        <w:t>学院拟转入计划不低于知识产权专业（不含卓越人才实验班）同级人数的 15%，</w:t>
      </w:r>
      <w:r>
        <w:rPr>
          <w:rFonts w:hint="eastAsia" w:ascii="方正仿宋_GB2312" w:hAnsi="方正仿宋_GB2312" w:eastAsia="方正仿宋_GB2312" w:cs="方正仿宋_GB2312"/>
          <w:color w:val="auto"/>
          <w:sz w:val="32"/>
          <w:szCs w:val="32"/>
        </w:rPr>
        <w:t>具体指标根据学校当年下发的调整修读专业（类）相关通知精神确定。知识产权（卓越人才实验班）实行等额转入管理，</w:t>
      </w:r>
      <w:r>
        <w:rPr>
          <w:rFonts w:hint="eastAsia" w:ascii="方正仿宋_GB2312" w:hAnsi="方正仿宋_GB2312" w:eastAsia="方正仿宋_GB2312" w:cs="方正仿宋_GB2312"/>
          <w:color w:val="auto"/>
          <w:sz w:val="32"/>
          <w:szCs w:val="32"/>
          <w:lang w:val="en-US" w:eastAsia="zh-CN"/>
        </w:rPr>
        <w:t>当</w:t>
      </w:r>
      <w:r>
        <w:rPr>
          <w:rFonts w:hint="eastAsia" w:ascii="方正仿宋_GB2312" w:hAnsi="方正仿宋_GB2312" w:eastAsia="方正仿宋_GB2312" w:cs="方正仿宋_GB2312"/>
          <w:color w:val="auto"/>
          <w:sz w:val="32"/>
          <w:szCs w:val="32"/>
        </w:rPr>
        <w:t>有学生成功转出后，方可按转出人数等额接收转入申请</w:t>
      </w:r>
      <w:r>
        <w:rPr>
          <w:rFonts w:hint="eastAsia" w:ascii="方正仿宋_GB2312" w:hAnsi="方正仿宋_GB2312" w:eastAsia="方正仿宋_GB2312" w:cs="方正仿宋_GB2312"/>
          <w:color w:val="auto"/>
          <w:sz w:val="32"/>
          <w:szCs w:val="32"/>
          <w:lang w:eastAsia="zh-CN"/>
        </w:rPr>
        <w:t>。</w:t>
      </w:r>
    </w:p>
    <w:p w14:paraId="09D4125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第六条</w:t>
      </w:r>
      <w:r>
        <w:rPr>
          <w:rFonts w:hint="eastAsia" w:ascii="方正仿宋_GB2312" w:hAnsi="方正仿宋_GB2312" w:eastAsia="方正仿宋_GB2312" w:cs="方正仿宋_GB2312"/>
          <w:sz w:val="32"/>
          <w:szCs w:val="32"/>
          <w:lang w:val="en-US" w:eastAsia="zh-CN"/>
        </w:rPr>
        <w:t xml:space="preserve"> 学院原则上不限制</w:t>
      </w:r>
      <w:r>
        <w:rPr>
          <w:rFonts w:hint="eastAsia" w:ascii="方正仿宋_GB2312" w:hAnsi="方正仿宋_GB2312" w:eastAsia="方正仿宋_GB2312" w:cs="方正仿宋_GB2312"/>
          <w:color w:val="auto"/>
          <w:sz w:val="32"/>
          <w:szCs w:val="32"/>
          <w:lang w:val="en-US" w:eastAsia="en-US"/>
        </w:rPr>
        <w:t>调整修读专业</w:t>
      </w:r>
      <w:r>
        <w:rPr>
          <w:rFonts w:hint="eastAsia" w:ascii="方正仿宋_GB2312" w:hAnsi="方正仿宋_GB2312" w:eastAsia="方正仿宋_GB2312" w:cs="方正仿宋_GB2312"/>
          <w:color w:val="auto"/>
          <w:sz w:val="32"/>
          <w:szCs w:val="32"/>
          <w:lang w:val="en-US" w:eastAsia="zh-CN"/>
        </w:rPr>
        <w:t>（类）学生</w:t>
      </w:r>
      <w:r>
        <w:rPr>
          <w:rFonts w:hint="eastAsia" w:ascii="方正仿宋_GB2312" w:hAnsi="方正仿宋_GB2312" w:eastAsia="方正仿宋_GB2312" w:cs="方正仿宋_GB2312"/>
          <w:sz w:val="32"/>
          <w:szCs w:val="32"/>
          <w:lang w:val="en-US" w:eastAsia="zh-CN"/>
        </w:rPr>
        <w:t>转出人数。</w:t>
      </w:r>
    </w:p>
    <w:p w14:paraId="59E979E0">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val="0"/>
          <w:color w:val="000000"/>
          <w:spacing w:val="-1"/>
          <w:kern w:val="0"/>
          <w:sz w:val="32"/>
          <w:szCs w:val="32"/>
          <w:lang w:val="en-US" w:eastAsia="zh-CN" w:bidi="ar-SA"/>
        </w:rPr>
      </w:pPr>
      <w:r>
        <w:rPr>
          <w:rFonts w:hint="eastAsia" w:ascii="黑体" w:hAnsi="黑体" w:eastAsia="黑体" w:cs="黑体"/>
          <w:snapToGrid w:val="0"/>
          <w:color w:val="000000"/>
          <w:spacing w:val="-1"/>
          <w:kern w:val="0"/>
          <w:sz w:val="32"/>
          <w:szCs w:val="32"/>
          <w:lang w:val="en-US" w:eastAsia="zh-CN" w:bidi="ar-SA"/>
        </w:rPr>
        <w:t>第四章 申请条件及流程</w:t>
      </w:r>
    </w:p>
    <w:p w14:paraId="77D9BF9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第七条</w:t>
      </w:r>
      <w:r>
        <w:rPr>
          <w:rFonts w:hint="eastAsia" w:ascii="方正仿宋_GB2312" w:hAnsi="方正仿宋_GB2312" w:eastAsia="方正仿宋_GB2312" w:cs="方正仿宋_GB2312"/>
          <w:color w:val="auto"/>
          <w:sz w:val="32"/>
          <w:szCs w:val="32"/>
          <w:lang w:val="en-US" w:eastAsia="zh-CN"/>
        </w:rPr>
        <w:t xml:space="preserve"> 有下列情况之一的，不得申请调整修读专业（类）：</w:t>
      </w:r>
    </w:p>
    <w:p w14:paraId="5A521F3A">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1.入学后违纪受到处分且在处分期内的、正在休学或保留学籍的；</w:t>
      </w:r>
    </w:p>
    <w:p w14:paraId="4C7D7C4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 xml:space="preserve">2.经学校研究确认其他不适合调整修读专业（类）的。 </w:t>
      </w:r>
    </w:p>
    <w:p w14:paraId="0A0042F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第八条</w:t>
      </w:r>
      <w:r>
        <w:rPr>
          <w:rFonts w:hint="eastAsia" w:ascii="方正仿宋_GB2312" w:hAnsi="方正仿宋_GB2312" w:eastAsia="方正仿宋_GB2312" w:cs="方正仿宋_GB2312"/>
          <w:color w:val="auto"/>
          <w:sz w:val="32"/>
          <w:szCs w:val="32"/>
          <w:lang w:val="en-US" w:eastAsia="zh-CN"/>
        </w:rPr>
        <w:t xml:space="preserve"> 大二以上（含大二）跨学科大类的调整专业（类）申请者，须降一年级修读。</w:t>
      </w:r>
    </w:p>
    <w:p w14:paraId="447F88F9">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第九条</w:t>
      </w:r>
      <w:r>
        <w:rPr>
          <w:rFonts w:hint="eastAsia" w:ascii="方正仿宋_GB2312" w:hAnsi="方正仿宋_GB2312" w:eastAsia="方正仿宋_GB2312" w:cs="方正仿宋_GB2312"/>
          <w:color w:val="auto"/>
          <w:sz w:val="32"/>
          <w:szCs w:val="32"/>
          <w:lang w:val="en-US" w:eastAsia="zh-CN"/>
        </w:rPr>
        <w:t xml:space="preserve"> 集中调整修读专业（类）于第二、第四学期初开展。</w:t>
      </w:r>
    </w:p>
    <w:p w14:paraId="11BF635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第十条</w:t>
      </w:r>
      <w:r>
        <w:rPr>
          <w:rFonts w:hint="eastAsia" w:ascii="方正仿宋_GB2312" w:hAnsi="方正仿宋_GB2312" w:eastAsia="方正仿宋_GB2312" w:cs="方正仿宋_GB2312"/>
          <w:color w:val="auto"/>
          <w:sz w:val="32"/>
          <w:szCs w:val="32"/>
          <w:lang w:val="en-US" w:eastAsia="zh-CN"/>
        </w:rPr>
        <w:t xml:space="preserve"> 申请转出的学生需按学校统一要求，通过系统线上申请，学院审核同意后，提交至拟转入学院。</w:t>
      </w:r>
    </w:p>
    <w:p w14:paraId="63E8B5FB">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第十一条</w:t>
      </w:r>
      <w:r>
        <w:rPr>
          <w:rFonts w:hint="eastAsia" w:ascii="方正仿宋_GB2312" w:hAnsi="方正仿宋_GB2312" w:eastAsia="方正仿宋_GB2312" w:cs="方正仿宋_GB2312"/>
          <w:color w:val="auto"/>
          <w:sz w:val="32"/>
          <w:szCs w:val="32"/>
          <w:lang w:val="en-US" w:eastAsia="zh-CN"/>
        </w:rPr>
        <w:t xml:space="preserve"> 申请拟转入我院的学生要求已修课程无不通过、无不及格且加权平均成绩高于80分；按学校统一要求提交申请后，需参加我院组织的综合能力考核面试，通过后择优录取。具体面试内容详见当年发布的工作通知。</w:t>
      </w:r>
    </w:p>
    <w:p w14:paraId="6CEB403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第十二条</w:t>
      </w:r>
      <w:r>
        <w:rPr>
          <w:rFonts w:hint="eastAsia" w:ascii="方正仿宋_GB2312" w:hAnsi="方正仿宋_GB2312" w:eastAsia="方正仿宋_GB2312" w:cs="方正仿宋_GB2312"/>
          <w:color w:val="auto"/>
          <w:sz w:val="32"/>
          <w:szCs w:val="32"/>
          <w:lang w:val="en-US" w:eastAsia="zh-CN"/>
        </w:rPr>
        <w:t xml:space="preserve"> 调整专业（类）综合成绩=在读期间加权平均成绩×60%+综合能力考核面试成绩×40%。</w:t>
      </w:r>
    </w:p>
    <w:p w14:paraId="56CF0CFF">
      <w:pPr>
        <w:pStyle w:val="3"/>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黑体" w:hAnsi="黑体" w:eastAsia="黑体" w:cs="黑体"/>
          <w:snapToGrid w:val="0"/>
          <w:color w:val="000000"/>
          <w:spacing w:val="-1"/>
          <w:kern w:val="0"/>
          <w:sz w:val="32"/>
          <w:szCs w:val="32"/>
          <w:lang w:val="en-US" w:eastAsia="zh-CN" w:bidi="ar-SA"/>
        </w:rPr>
      </w:pPr>
      <w:r>
        <w:rPr>
          <w:rFonts w:hint="eastAsia" w:ascii="黑体" w:hAnsi="黑体" w:eastAsia="黑体" w:cs="黑体"/>
          <w:snapToGrid w:val="0"/>
          <w:color w:val="000000"/>
          <w:spacing w:val="-1"/>
          <w:kern w:val="0"/>
          <w:sz w:val="32"/>
          <w:szCs w:val="32"/>
          <w:lang w:val="en-US" w:eastAsia="zh-CN" w:bidi="ar-SA"/>
        </w:rPr>
        <w:t>第五章 附 则</w:t>
      </w:r>
    </w:p>
    <w:p w14:paraId="7125F784">
      <w:pPr>
        <w:pStyle w:val="20"/>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十三</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本细则未尽事宜，严格按照当年</w:t>
      </w:r>
      <w:r>
        <w:rPr>
          <w:rFonts w:hint="eastAsia" w:ascii="方正仿宋_GB2312" w:hAnsi="方正仿宋_GB2312" w:eastAsia="方正仿宋_GB2312" w:cs="方正仿宋_GB2312"/>
          <w:sz w:val="32"/>
          <w:szCs w:val="32"/>
          <w:lang w:val="en-US" w:eastAsia="zh-CN"/>
        </w:rPr>
        <w:t>学校</w:t>
      </w:r>
      <w:r>
        <w:rPr>
          <w:rFonts w:hint="eastAsia" w:ascii="方正仿宋_GB2312" w:hAnsi="方正仿宋_GB2312" w:eastAsia="方正仿宋_GB2312" w:cs="方正仿宋_GB2312"/>
          <w:sz w:val="32"/>
          <w:szCs w:val="32"/>
        </w:rPr>
        <w:t>下发的调整修读专业（类）相关通知精神确定</w:t>
      </w:r>
      <w:r>
        <w:rPr>
          <w:rFonts w:hint="eastAsia" w:ascii="方正仿宋_GB2312" w:hAnsi="方正仿宋_GB2312" w:eastAsia="方正仿宋_GB2312" w:cs="方正仿宋_GB2312"/>
          <w:sz w:val="32"/>
          <w:szCs w:val="32"/>
          <w:lang w:eastAsia="zh-CN"/>
        </w:rPr>
        <w:t>。</w:t>
      </w:r>
    </w:p>
    <w:p w14:paraId="3E1C863E">
      <w:pPr>
        <w:pStyle w:val="20"/>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val="en-US" w:eastAsia="zh-CN"/>
        </w:rPr>
        <w:t>十四</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本细则由知识产权学院调整修读专业（类）工作小组负责解释。</w:t>
      </w:r>
    </w:p>
    <w:p w14:paraId="4DB8062F">
      <w:pPr>
        <w:pStyle w:val="20"/>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rPr>
      </w:pPr>
    </w:p>
    <w:p w14:paraId="663738BF">
      <w:pPr>
        <w:pStyle w:val="20"/>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中南财经政法大学</w:t>
      </w:r>
      <w:r>
        <w:rPr>
          <w:rFonts w:hint="eastAsia" w:ascii="方正仿宋_GB2312" w:hAnsi="方正仿宋_GB2312" w:eastAsia="方正仿宋_GB2312" w:cs="方正仿宋_GB2312"/>
          <w:sz w:val="32"/>
          <w:szCs w:val="32"/>
        </w:rPr>
        <w:t>知识产权学院</w:t>
      </w:r>
    </w:p>
    <w:p w14:paraId="45F84C5B">
      <w:pPr>
        <w:pStyle w:val="20"/>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2025 年 </w:t>
      </w: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 xml:space="preserve"> 月 </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 xml:space="preserve"> 日</w:t>
      </w:r>
    </w:p>
    <w:sectPr>
      <w:footerReference r:id="rId3" w:type="default"/>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C41D44-AEDB-44F4-8748-98A80698A9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2" w:fontKey="{76A1B289-D2E3-4048-BEB4-5E5BCC21D803}"/>
  </w:font>
  <w:font w:name="方正仿宋_GB2312">
    <w:panose1 w:val="02000000000000000000"/>
    <w:charset w:val="86"/>
    <w:family w:val="auto"/>
    <w:pitch w:val="default"/>
    <w:sig w:usb0="A00002BF" w:usb1="184F6CFA" w:usb2="00000012" w:usb3="00000000" w:csb0="00040001" w:csb1="00000000"/>
    <w:embedRegular r:id="rId3" w:fontKey="{6EC7C6EA-38EE-4877-9B44-751C9808A8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7EC1D">
    <w:pPr>
      <w:pStyle w:val="9"/>
      <w:spacing w:line="377" w:lineRule="exact"/>
      <w:ind w:left="7799"/>
      <w:rPr>
        <w:sz w:val="28"/>
        <w:szCs w:val="28"/>
      </w:rPr>
    </w:pPr>
    <w:r>
      <w:rPr>
        <w:spacing w:val="-8"/>
        <w:position w:val="1"/>
        <w:sz w:val="28"/>
        <w:szCs w:val="28"/>
      </w:rPr>
      <w:t>—</w:t>
    </w:r>
    <w:r>
      <w:rPr>
        <w:spacing w:val="70"/>
        <w:w w:val="101"/>
        <w:position w:val="1"/>
        <w:sz w:val="28"/>
        <w:szCs w:val="28"/>
      </w:rPr>
      <w:t xml:space="preserve"> </w:t>
    </w:r>
    <w:r>
      <w:rPr>
        <w:rFonts w:hint="eastAsia" w:eastAsia="宋体"/>
        <w:spacing w:val="-8"/>
        <w:position w:val="1"/>
        <w:sz w:val="28"/>
        <w:szCs w:val="28"/>
        <w:lang w:val="en-US" w:eastAsia="zh-CN"/>
      </w:rPr>
      <w:t>2</w:t>
    </w:r>
    <w:r>
      <w:rPr>
        <w:spacing w:val="62"/>
        <w:position w:val="1"/>
        <w:sz w:val="28"/>
        <w:szCs w:val="28"/>
      </w:rPr>
      <w:t xml:space="preserve"> </w:t>
    </w:r>
    <w:r>
      <w:rPr>
        <w:spacing w:val="-8"/>
        <w:position w:val="1"/>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675481"/>
    <w:rsid w:val="00755DF0"/>
    <w:rsid w:val="01714809"/>
    <w:rsid w:val="02ED6B37"/>
    <w:rsid w:val="03F1298D"/>
    <w:rsid w:val="03FB660C"/>
    <w:rsid w:val="05084C8D"/>
    <w:rsid w:val="05322502"/>
    <w:rsid w:val="05452235"/>
    <w:rsid w:val="06210C4C"/>
    <w:rsid w:val="073E54EA"/>
    <w:rsid w:val="08A2174C"/>
    <w:rsid w:val="08FA5590"/>
    <w:rsid w:val="0ABB0B49"/>
    <w:rsid w:val="0AD33E3F"/>
    <w:rsid w:val="0AD41965"/>
    <w:rsid w:val="0B106E41"/>
    <w:rsid w:val="0B7218AA"/>
    <w:rsid w:val="0B9510F4"/>
    <w:rsid w:val="0BFC1173"/>
    <w:rsid w:val="0C1963A2"/>
    <w:rsid w:val="0C210BDA"/>
    <w:rsid w:val="0D501341"/>
    <w:rsid w:val="0D501777"/>
    <w:rsid w:val="0D7A67F4"/>
    <w:rsid w:val="0D951880"/>
    <w:rsid w:val="0DC12986"/>
    <w:rsid w:val="0FCB2D47"/>
    <w:rsid w:val="10305890"/>
    <w:rsid w:val="10401F77"/>
    <w:rsid w:val="1082606E"/>
    <w:rsid w:val="10DE709A"/>
    <w:rsid w:val="12A04F4F"/>
    <w:rsid w:val="130059ED"/>
    <w:rsid w:val="13324823"/>
    <w:rsid w:val="13F217DA"/>
    <w:rsid w:val="13F61F26"/>
    <w:rsid w:val="149316DE"/>
    <w:rsid w:val="149E726C"/>
    <w:rsid w:val="157E75CB"/>
    <w:rsid w:val="165B742B"/>
    <w:rsid w:val="16DE6045"/>
    <w:rsid w:val="177E3384"/>
    <w:rsid w:val="18155262"/>
    <w:rsid w:val="18185587"/>
    <w:rsid w:val="19C84D8B"/>
    <w:rsid w:val="1A570F83"/>
    <w:rsid w:val="1BD712B5"/>
    <w:rsid w:val="1D867548"/>
    <w:rsid w:val="1DFB128B"/>
    <w:rsid w:val="1E036392"/>
    <w:rsid w:val="1E2F7150"/>
    <w:rsid w:val="1E62130A"/>
    <w:rsid w:val="1E8A0861"/>
    <w:rsid w:val="207C491F"/>
    <w:rsid w:val="21521E4A"/>
    <w:rsid w:val="22BD2FB3"/>
    <w:rsid w:val="22E764A6"/>
    <w:rsid w:val="230010F2"/>
    <w:rsid w:val="233B037C"/>
    <w:rsid w:val="247E43DB"/>
    <w:rsid w:val="24962BC4"/>
    <w:rsid w:val="24FD4C8D"/>
    <w:rsid w:val="25DA2065"/>
    <w:rsid w:val="267A11BB"/>
    <w:rsid w:val="276E6F72"/>
    <w:rsid w:val="28BE5CD7"/>
    <w:rsid w:val="29B26679"/>
    <w:rsid w:val="2A662182"/>
    <w:rsid w:val="2A9A62D0"/>
    <w:rsid w:val="2B110340"/>
    <w:rsid w:val="2B591CE7"/>
    <w:rsid w:val="2B6C37C8"/>
    <w:rsid w:val="2CBC077F"/>
    <w:rsid w:val="2D3F298E"/>
    <w:rsid w:val="2DBB4593"/>
    <w:rsid w:val="2F566C69"/>
    <w:rsid w:val="31046251"/>
    <w:rsid w:val="31741628"/>
    <w:rsid w:val="322F554F"/>
    <w:rsid w:val="32F32A21"/>
    <w:rsid w:val="33356B95"/>
    <w:rsid w:val="342A4220"/>
    <w:rsid w:val="344D7F0F"/>
    <w:rsid w:val="35B77D36"/>
    <w:rsid w:val="35D5640E"/>
    <w:rsid w:val="36056193"/>
    <w:rsid w:val="36A55DE0"/>
    <w:rsid w:val="36B456F4"/>
    <w:rsid w:val="36F1614D"/>
    <w:rsid w:val="381D293C"/>
    <w:rsid w:val="38726196"/>
    <w:rsid w:val="38E928FC"/>
    <w:rsid w:val="38F60B75"/>
    <w:rsid w:val="3A1514CF"/>
    <w:rsid w:val="3BAE5737"/>
    <w:rsid w:val="3BCA76A8"/>
    <w:rsid w:val="3D5B0E99"/>
    <w:rsid w:val="3EE14075"/>
    <w:rsid w:val="3F867693"/>
    <w:rsid w:val="3F874C1D"/>
    <w:rsid w:val="401B71BB"/>
    <w:rsid w:val="401D0478"/>
    <w:rsid w:val="40243DA3"/>
    <w:rsid w:val="40745F33"/>
    <w:rsid w:val="40BF3F42"/>
    <w:rsid w:val="41B4781F"/>
    <w:rsid w:val="42613503"/>
    <w:rsid w:val="426923B8"/>
    <w:rsid w:val="427F1BDB"/>
    <w:rsid w:val="428E0070"/>
    <w:rsid w:val="42C43740"/>
    <w:rsid w:val="451F07EB"/>
    <w:rsid w:val="457F382A"/>
    <w:rsid w:val="45FF375F"/>
    <w:rsid w:val="46982087"/>
    <w:rsid w:val="481E59F2"/>
    <w:rsid w:val="482F5E51"/>
    <w:rsid w:val="4851401A"/>
    <w:rsid w:val="48B40105"/>
    <w:rsid w:val="49217C44"/>
    <w:rsid w:val="49BC3715"/>
    <w:rsid w:val="49EE4F5D"/>
    <w:rsid w:val="4A225C6E"/>
    <w:rsid w:val="4A590478"/>
    <w:rsid w:val="4A681856"/>
    <w:rsid w:val="4BEA23D6"/>
    <w:rsid w:val="4E127DA7"/>
    <w:rsid w:val="4F0B3174"/>
    <w:rsid w:val="4F0C0C9A"/>
    <w:rsid w:val="4FA63CB9"/>
    <w:rsid w:val="50117690"/>
    <w:rsid w:val="52AB1BAD"/>
    <w:rsid w:val="53B34144"/>
    <w:rsid w:val="545F13F9"/>
    <w:rsid w:val="548571B5"/>
    <w:rsid w:val="55432F3C"/>
    <w:rsid w:val="558C6691"/>
    <w:rsid w:val="567E247E"/>
    <w:rsid w:val="57106E4E"/>
    <w:rsid w:val="581F1A3E"/>
    <w:rsid w:val="58B24A69"/>
    <w:rsid w:val="58C93758"/>
    <w:rsid w:val="59015D94"/>
    <w:rsid w:val="5AAB75B9"/>
    <w:rsid w:val="5AB62162"/>
    <w:rsid w:val="5CFC6A3B"/>
    <w:rsid w:val="5DA779D9"/>
    <w:rsid w:val="5DC0337C"/>
    <w:rsid w:val="5E1831B8"/>
    <w:rsid w:val="5F800445"/>
    <w:rsid w:val="60B13450"/>
    <w:rsid w:val="61226487"/>
    <w:rsid w:val="619959F1"/>
    <w:rsid w:val="624502F4"/>
    <w:rsid w:val="65362175"/>
    <w:rsid w:val="65B35574"/>
    <w:rsid w:val="660B3602"/>
    <w:rsid w:val="67951299"/>
    <w:rsid w:val="68D14265"/>
    <w:rsid w:val="69651DA3"/>
    <w:rsid w:val="69E95C7D"/>
    <w:rsid w:val="6A107439"/>
    <w:rsid w:val="6B670687"/>
    <w:rsid w:val="6B80239C"/>
    <w:rsid w:val="6CD96AD3"/>
    <w:rsid w:val="6D141DB1"/>
    <w:rsid w:val="6DDF24A1"/>
    <w:rsid w:val="6E7361E8"/>
    <w:rsid w:val="6E907EBB"/>
    <w:rsid w:val="6EAF6592"/>
    <w:rsid w:val="6F9E7295"/>
    <w:rsid w:val="70187047"/>
    <w:rsid w:val="711F7F62"/>
    <w:rsid w:val="71724535"/>
    <w:rsid w:val="71AE3447"/>
    <w:rsid w:val="723E7D53"/>
    <w:rsid w:val="72AA7F3D"/>
    <w:rsid w:val="73DA3720"/>
    <w:rsid w:val="73E060CE"/>
    <w:rsid w:val="74B82BA7"/>
    <w:rsid w:val="7541494A"/>
    <w:rsid w:val="75826D11"/>
    <w:rsid w:val="7590142E"/>
    <w:rsid w:val="76CE66B2"/>
    <w:rsid w:val="76FD1DA6"/>
    <w:rsid w:val="77150C8C"/>
    <w:rsid w:val="78D247AE"/>
    <w:rsid w:val="7A146AD1"/>
    <w:rsid w:val="7A6D61E2"/>
    <w:rsid w:val="7AF1296F"/>
    <w:rsid w:val="7B8563BE"/>
    <w:rsid w:val="7C7E0232"/>
    <w:rsid w:val="7DE75D78"/>
    <w:rsid w:val="7E4C4654"/>
    <w:rsid w:val="7E5A5646"/>
    <w:rsid w:val="7E6416AA"/>
    <w:rsid w:val="7ECB34D7"/>
    <w:rsid w:val="7EED07E1"/>
    <w:rsid w:val="7FC56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semiHidden/>
    <w:qFormat/>
    <w:uiPriority w:val="0"/>
    <w:rPr>
      <w:rFonts w:ascii="Arial" w:hAnsi="Arial" w:eastAsia="Arial" w:cs="Arial"/>
      <w:sz w:val="21"/>
      <w:szCs w:val="21"/>
      <w:lang w:val="en-US" w:eastAsia="en-US" w:bidi="ar-SA"/>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19"/>
    <w:semiHidden/>
    <w:unhideWhenUsed/>
    <w:qFormat/>
    <w:uiPriority w:val="99"/>
    <w:pPr>
      <w:spacing w:after="0" w:line="240" w:lineRule="auto"/>
    </w:pPr>
    <w:rPr>
      <w:rFonts w:ascii="Times New Roman" w:hAnsi="Times New Roman" w:eastAsia="宋体" w:cs="Times New Roman"/>
      <w:sz w:val="20"/>
      <w:szCs w:val="20"/>
    </w:rPr>
  </w:style>
  <w:style w:type="paragraph" w:styleId="12">
    <w:name w:val="Title"/>
    <w:qFormat/>
    <w:uiPriority w:val="0"/>
    <w:pPr>
      <w:spacing w:before="480" w:after="480" w:line="288" w:lineRule="auto"/>
      <w:ind w:left="0"/>
    </w:pPr>
    <w:rPr>
      <w:rFonts w:ascii="Arial" w:hAnsi="Arial" w:eastAsia="等线" w:cs="Arial"/>
      <w:b/>
      <w:bCs/>
      <w:sz w:val="52"/>
      <w:szCs w:val="52"/>
    </w:rPr>
  </w:style>
  <w:style w:type="character" w:styleId="15">
    <w:name w:val="Strong"/>
    <w:basedOn w:val="14"/>
    <w:qFormat/>
    <w:uiPriority w:val="0"/>
    <w:rPr>
      <w:b/>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rPr>
      <w:rFonts w:ascii="Times New Roman" w:hAnsi="Times New Roman" w:eastAsia="宋体" w:cs="Times New Roman"/>
      <w:sz w:val="21"/>
      <w:szCs w:val="22"/>
    </w:rPr>
  </w:style>
  <w:style w:type="character" w:customStyle="1" w:styleId="19">
    <w:name w:val="Footnote Text Char"/>
    <w:link w:val="11"/>
    <w:semiHidden/>
    <w:unhideWhenUsed/>
    <w:qFormat/>
    <w:uiPriority w:val="99"/>
    <w:rPr>
      <w:sz w:val="20"/>
      <w:szCs w:val="2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994</Words>
  <Characters>1007</Characters>
  <TotalTime>16</TotalTime>
  <ScaleCrop>false</ScaleCrop>
  <LinksUpToDate>false</LinksUpToDate>
  <CharactersWithSpaces>1034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2026-01-03T13:22:00Z</dcterms:created>
  <dc:creator>Un-named</dc:creator>
  <cp:lastModifiedBy>徐剑飞</cp:lastModifiedBy>
  <cp:lastPrinted>2026-01-14T07:57:00Z</cp:lastPrinted>
  <dcterms:modified xsi:type="dcterms:W3CDTF">2026-01-16T09:32:48Z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eyJoZGlkIjoiOTMxOGFiMWE1MTM3MTY5MjlkMmI4MTE5OTNlZDE2YzciLCJ1c2VySWQiOiI2OTQ0NjQxOTkifQ==</vt:lpwstr>
  </property>
  <property fmtid="{D5CDD505-2E9C-101B-9397-08002B2CF9AE}" pid="3" name="KSOProductBuildVer">
    <vt:lpwstr>2052-12.1.0.24034</vt:lpwstr>
  </property>
  <property fmtid="{D5CDD505-2E9C-101B-9397-08002B2CF9AE}" pid="4" name="ICV">
    <vt:lpwstr>6E171DD28BBE4717B6FE589A6B2C7195_13</vt:lpwstr>
  </property>
</Properties>
</file>